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Pr="00FB302A" w:rsidRDefault="00F64786" w:rsidP="0077673A"/>
        </w:tc>
        <w:tc>
          <w:tcPr>
            <w:tcW w:w="2606" w:type="dxa"/>
          </w:tcPr>
          <w:p w14:paraId="383D6AC2" w14:textId="59E444F4" w:rsidR="00F64786" w:rsidRPr="00FB302A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FB302A" w:rsidRDefault="0000218B" w:rsidP="0077673A">
            <w:r w:rsidRPr="00FB302A">
              <w:t>Naše zn.</w:t>
            </w:r>
          </w:p>
        </w:tc>
        <w:tc>
          <w:tcPr>
            <w:tcW w:w="2606" w:type="dxa"/>
          </w:tcPr>
          <w:p w14:paraId="383D6ACD" w14:textId="47E8DB94" w:rsidR="0000218B" w:rsidRPr="00FB302A" w:rsidRDefault="00036C66" w:rsidP="003161A7">
            <w:r>
              <w:t>7620</w:t>
            </w:r>
            <w:r w:rsidR="002762F5" w:rsidRPr="00FB302A">
              <w:t>/202</w:t>
            </w:r>
            <w:r w:rsidR="00FB302A" w:rsidRPr="00FB302A">
              <w:t>2</w:t>
            </w:r>
            <w:r w:rsidR="002762F5" w:rsidRPr="00FB302A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FB302A" w:rsidRDefault="0000218B" w:rsidP="0077673A">
            <w:r w:rsidRPr="00FB302A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FB302A" w:rsidRDefault="00465C22" w:rsidP="0077673A">
            <w:r w:rsidRPr="00FB302A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FB302A" w:rsidRDefault="0000218B" w:rsidP="0077673A"/>
        </w:tc>
        <w:tc>
          <w:tcPr>
            <w:tcW w:w="2606" w:type="dxa"/>
          </w:tcPr>
          <w:p w14:paraId="383D6AD7" w14:textId="77777777" w:rsidR="0000218B" w:rsidRPr="00FB302A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FB302A" w:rsidRDefault="0000218B" w:rsidP="0077673A">
            <w:r w:rsidRPr="00FB302A">
              <w:t>Vyřizuje</w:t>
            </w:r>
          </w:p>
        </w:tc>
        <w:tc>
          <w:tcPr>
            <w:tcW w:w="2606" w:type="dxa"/>
          </w:tcPr>
          <w:p w14:paraId="383D6ADC" w14:textId="0299164F" w:rsidR="0000218B" w:rsidRPr="00FB302A" w:rsidRDefault="00D50AD2" w:rsidP="00C959AB">
            <w:pPr>
              <w:ind w:left="0"/>
            </w:pPr>
            <w:r w:rsidRPr="00FB302A">
              <w:t xml:space="preserve">            </w:t>
            </w:r>
            <w:r w:rsidR="00FB302A" w:rsidRPr="00FB302A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FB302A" w:rsidRDefault="0000218B" w:rsidP="009A7568">
            <w:r w:rsidRPr="00FB302A">
              <w:t>Telefon</w:t>
            </w:r>
          </w:p>
        </w:tc>
        <w:tc>
          <w:tcPr>
            <w:tcW w:w="2606" w:type="dxa"/>
          </w:tcPr>
          <w:p w14:paraId="383D6AE1" w14:textId="584A7459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FB302A" w:rsidRDefault="0000218B" w:rsidP="009A7568">
            <w:r w:rsidRPr="00FB302A">
              <w:t>Mobil</w:t>
            </w:r>
          </w:p>
        </w:tc>
        <w:tc>
          <w:tcPr>
            <w:tcW w:w="2606" w:type="dxa"/>
          </w:tcPr>
          <w:p w14:paraId="383D6AE6" w14:textId="3B5E68ED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FB302A" w:rsidRDefault="0000218B" w:rsidP="009A7568">
            <w:r w:rsidRPr="00FB302A">
              <w:t>E-mail</w:t>
            </w:r>
          </w:p>
        </w:tc>
        <w:tc>
          <w:tcPr>
            <w:tcW w:w="2606" w:type="dxa"/>
          </w:tcPr>
          <w:p w14:paraId="383D6AEB" w14:textId="120DB323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FB302A" w:rsidRDefault="009A7568" w:rsidP="009A7568"/>
        </w:tc>
        <w:tc>
          <w:tcPr>
            <w:tcW w:w="2606" w:type="dxa"/>
          </w:tcPr>
          <w:p w14:paraId="383D6AF0" w14:textId="77777777" w:rsidR="009A7568" w:rsidRPr="00FB302A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FB302A" w:rsidRDefault="009A7568" w:rsidP="009A7568">
            <w:r w:rsidRPr="00FB302A">
              <w:t>Datum</w:t>
            </w:r>
          </w:p>
        </w:tc>
        <w:tc>
          <w:tcPr>
            <w:tcW w:w="2606" w:type="dxa"/>
          </w:tcPr>
          <w:p w14:paraId="383D6AF5" w14:textId="42E2336E" w:rsidR="009A7568" w:rsidRPr="00FB302A" w:rsidRDefault="00036C66" w:rsidP="009A7568">
            <w:r>
              <w:t>24</w:t>
            </w:r>
            <w:r w:rsidR="00FB302A" w:rsidRPr="00FB302A">
              <w:t>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AC1E99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 xml:space="preserve">Věc: </w:t>
      </w:r>
      <w:r w:rsidRPr="00641F2F">
        <w:rPr>
          <w:b/>
        </w:rPr>
        <w:t>Výzva k podání nabídky</w:t>
      </w:r>
      <w:r w:rsidR="005A05E0" w:rsidRPr="00641F2F">
        <w:rPr>
          <w:b/>
        </w:rPr>
        <w:t xml:space="preserve"> – „Dynamický nákupní systém </w:t>
      </w:r>
      <w:r w:rsidR="004134F3" w:rsidRPr="00641F2F">
        <w:rPr>
          <w:b/>
        </w:rPr>
        <w:t xml:space="preserve">rozvoj SAP  - kategorie </w:t>
      </w:r>
      <w:r w:rsidR="00641F2F" w:rsidRPr="00641F2F">
        <w:rPr>
          <w:b/>
        </w:rPr>
        <w:t>4</w:t>
      </w:r>
      <w:r w:rsidR="004134F3" w:rsidRPr="00641F2F">
        <w:rPr>
          <w:b/>
        </w:rPr>
        <w:t xml:space="preserve"> – </w:t>
      </w:r>
      <w:r w:rsidR="00641F2F" w:rsidRPr="00641F2F">
        <w:rPr>
          <w:b/>
        </w:rPr>
        <w:t>Správa nemovitostí</w:t>
      </w:r>
      <w:r w:rsidR="005A05E0" w:rsidRPr="00641F2F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41F2F" w:rsidRDefault="0028055F" w:rsidP="006B2330">
      <w:pPr>
        <w:pStyle w:val="Oslovenvdopisu"/>
        <w:jc w:val="center"/>
        <w:rPr>
          <w:b/>
        </w:rPr>
      </w:pPr>
      <w:r w:rsidRPr="00641F2F">
        <w:rPr>
          <w:b/>
        </w:rPr>
        <w:t>vyzývá</w:t>
      </w:r>
    </w:p>
    <w:p w14:paraId="33AD396D" w14:textId="77777777" w:rsidR="0028055F" w:rsidRPr="00641F2F" w:rsidRDefault="0028055F" w:rsidP="0028055F">
      <w:pPr>
        <w:pStyle w:val="Oslovenvdopisu"/>
      </w:pPr>
    </w:p>
    <w:p w14:paraId="1780E6FD" w14:textId="6428C03D" w:rsidR="0028055F" w:rsidRDefault="00214C05" w:rsidP="0028055F">
      <w:pPr>
        <w:pStyle w:val="Oslovenvdopisu"/>
      </w:pPr>
      <w:r w:rsidRPr="00641F2F">
        <w:t>dodavatele zařazené do DNS</w:t>
      </w:r>
      <w:r w:rsidR="004134F3" w:rsidRPr="00641F2F">
        <w:t xml:space="preserve"> do kategorie </w:t>
      </w:r>
      <w:r w:rsidR="00641F2F" w:rsidRPr="00641F2F">
        <w:t>4</w:t>
      </w:r>
      <w:r w:rsidR="00D50AD2" w:rsidRPr="00641F2F">
        <w:t xml:space="preserve"> </w:t>
      </w:r>
      <w:r w:rsidR="005819E4" w:rsidRPr="00641F2F">
        <w:t>–</w:t>
      </w:r>
      <w:r w:rsidR="00AC3B69" w:rsidRPr="00641F2F">
        <w:t xml:space="preserve"> </w:t>
      </w:r>
      <w:r w:rsidR="00641F2F" w:rsidRPr="00641F2F">
        <w:t>Správa nemovitostí</w:t>
      </w:r>
      <w:r w:rsidR="00AC3B69" w:rsidRPr="00641F2F">
        <w:t xml:space="preserve"> </w:t>
      </w:r>
      <w:r w:rsidR="0028055F" w:rsidRPr="00641F2F">
        <w:t xml:space="preserve">k podání nabídky </w:t>
      </w:r>
      <w:r w:rsidRPr="00641F2F">
        <w:t xml:space="preserve">na veřejnou zakázku </w:t>
      </w:r>
      <w:r w:rsidR="0028055F" w:rsidRPr="00641F2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27289894" w:rsidR="0028055F" w:rsidRPr="00641F2F" w:rsidRDefault="00554EA0" w:rsidP="006B2330">
      <w:pPr>
        <w:pStyle w:val="Oslovenvdopisu"/>
        <w:jc w:val="center"/>
        <w:rPr>
          <w:b/>
        </w:rPr>
      </w:pPr>
      <w:r w:rsidRPr="00641F2F">
        <w:rPr>
          <w:b/>
        </w:rPr>
        <w:t xml:space="preserve"> „</w:t>
      </w:r>
      <w:r w:rsidR="00641F2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036C66">
        <w:rPr>
          <w:rFonts w:ascii="Verdana" w:eastAsia="Verdana" w:hAnsi="Verdana" w:cs="Verdana"/>
          <w:b/>
          <w:color w:val="000000"/>
        </w:rPr>
        <w:t>olia nemovitostí – poptávka č. 3</w:t>
      </w:r>
      <w:r w:rsidRPr="00641F2F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Pr="009F16D0" w:rsidRDefault="0028055F" w:rsidP="001C196B">
      <w:pPr>
        <w:pStyle w:val="Nadpis1"/>
      </w:pPr>
      <w:r>
        <w:t xml:space="preserve">Předmět veřejné </w:t>
      </w:r>
      <w:r w:rsidRPr="009F16D0">
        <w:t>zakázky</w:t>
      </w:r>
    </w:p>
    <w:p w14:paraId="26692A8A" w14:textId="1797DB0F" w:rsidR="001829B5" w:rsidRPr="009F16D0" w:rsidRDefault="0028055F" w:rsidP="00293EF4">
      <w:pPr>
        <w:pStyle w:val="Nadpis2"/>
      </w:pPr>
      <w:r w:rsidRPr="009F16D0">
        <w:t>Informace o předmětu veřejné zakázky</w:t>
      </w:r>
      <w:r w:rsidR="00E96351" w:rsidRPr="009F16D0">
        <w:t>:</w:t>
      </w:r>
      <w:r w:rsidRPr="009F16D0">
        <w:tab/>
      </w:r>
    </w:p>
    <w:p w14:paraId="3DC3DE84" w14:textId="5CCAE059" w:rsidR="002E5F71" w:rsidRPr="009F16D0" w:rsidRDefault="002E5F71" w:rsidP="00903106">
      <w:pPr>
        <w:spacing w:line="360" w:lineRule="auto"/>
      </w:pPr>
      <w:r w:rsidRPr="009F16D0">
        <w:t>Předpokládaná hodnota VZ:</w:t>
      </w:r>
      <w:r w:rsidRPr="009F16D0">
        <w:tab/>
        <w:t>zadavatel nezveřejňuje</w:t>
      </w:r>
    </w:p>
    <w:p w14:paraId="1BB1B488" w14:textId="7EF2A57E" w:rsidR="0028055F" w:rsidRPr="009F16D0" w:rsidRDefault="0028055F" w:rsidP="00903106">
      <w:pPr>
        <w:spacing w:line="360" w:lineRule="auto"/>
      </w:pPr>
      <w:r w:rsidRPr="009F16D0">
        <w:t>Druh veřejné zakázky:</w:t>
      </w:r>
      <w:r w:rsidRPr="009F16D0">
        <w:tab/>
      </w:r>
      <w:r w:rsidRPr="009F16D0">
        <w:tab/>
      </w:r>
      <w:r w:rsidR="002E5F71" w:rsidRPr="009F16D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 w:rsidRPr="009F16D0">
        <w:t xml:space="preserve">Charakteristika </w:t>
      </w:r>
      <w:r w:rsidR="002363D7" w:rsidRPr="009F16D0">
        <w:t xml:space="preserve">veřejné zakázky:  </w:t>
      </w:r>
      <w:r w:rsidR="00970C7F" w:rsidRPr="009F16D0">
        <w:t xml:space="preserve">veřejná zakázka </w:t>
      </w:r>
      <w:r w:rsidR="00C6702C" w:rsidRPr="009F16D0">
        <w:t xml:space="preserve">na </w:t>
      </w:r>
      <w:r w:rsidR="00EC0DAD" w:rsidRPr="009F16D0">
        <w:t>služby</w:t>
      </w:r>
      <w:r w:rsidR="00C6702C" w:rsidRPr="009F16D0">
        <w:t xml:space="preserve"> </w:t>
      </w:r>
      <w:r w:rsidR="00970C7F" w:rsidRPr="009F16D0">
        <w:t>zadávaná v</w:t>
      </w:r>
      <w:r w:rsidR="00C6702C" w:rsidRPr="009F16D0">
        <w:t> </w:t>
      </w:r>
      <w:r w:rsidR="00970C7F" w:rsidRPr="009F16D0">
        <w:t>zavedeném</w:t>
      </w:r>
      <w:r w:rsidR="00C6702C" w:rsidRPr="009F16D0">
        <w:t xml:space="preserve"> DNS v souladu s § 14 odst. 1 zákona.</w:t>
      </w:r>
    </w:p>
    <w:p w14:paraId="33BFFFC4" w14:textId="666BC809" w:rsidR="006B78B1" w:rsidRDefault="002E5F71" w:rsidP="007F5F18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bookmarkEnd w:id="0"/>
      <w:r w:rsidR="007F5F18">
        <w:rPr>
          <w:b/>
        </w:rPr>
        <w:t>:</w:t>
      </w:r>
    </w:p>
    <w:p w14:paraId="3F4B575F" w14:textId="64818AED" w:rsidR="00036C66" w:rsidRDefault="00036C66" w:rsidP="00036C66">
      <w:pPr>
        <w:pStyle w:val="Nadpis2"/>
        <w:numPr>
          <w:ilvl w:val="0"/>
          <w:numId w:val="42"/>
        </w:numPr>
        <w:ind w:left="993"/>
      </w:pPr>
      <w:r>
        <w:t>Dokončení kontrolních výkazů k NO a ZJ – jedná se o výkazy, které mají sloužit nejen ke kontrole nově zaváděných dat v rámci projektu</w:t>
      </w:r>
    </w:p>
    <w:p w14:paraId="1FCCF629" w14:textId="77777777" w:rsidR="00036C66" w:rsidRDefault="00036C66" w:rsidP="00036C66">
      <w:pPr>
        <w:pStyle w:val="Nadpis2"/>
        <w:numPr>
          <w:ilvl w:val="0"/>
          <w:numId w:val="42"/>
        </w:numPr>
        <w:ind w:left="993"/>
      </w:pPr>
      <w:r>
        <w:lastRenderedPageBreak/>
        <w:t xml:space="preserve">Nastavení zúčtovacích jednotek pro otestování – Pro nastavení alokace přímých nákladů (alokace celkových nákladů na jednotlivé budovy a následně rozpad do nájemních objektů, dle příslušných parametrů, např. m2) </w:t>
      </w:r>
    </w:p>
    <w:p w14:paraId="3336A442" w14:textId="5D1C3FEB" w:rsidR="00293EF4" w:rsidRPr="00293EF4" w:rsidRDefault="004134F3" w:rsidP="00036C66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9F16D0" w:rsidRDefault="00BF7007" w:rsidP="002E5F71">
      <w:pPr>
        <w:pStyle w:val="Nadpis4"/>
      </w:pPr>
      <w:r w:rsidRPr="009F16D0">
        <w:t>Zadavatel předpokládanou hodnotu veřejné zakázky nezveřejňuje.</w:t>
      </w:r>
    </w:p>
    <w:p w14:paraId="15D74D38" w14:textId="7DE4E360" w:rsidR="00FB10E8" w:rsidRPr="009F16D0" w:rsidRDefault="0028055F" w:rsidP="00C9119E">
      <w:pPr>
        <w:pStyle w:val="Nadpis1"/>
      </w:pPr>
      <w:r>
        <w:t xml:space="preserve">Doba a </w:t>
      </w:r>
      <w:r w:rsidRPr="009F16D0">
        <w:t>místo plnění veřejné zakázky</w:t>
      </w:r>
    </w:p>
    <w:p w14:paraId="7DC15A04" w14:textId="1D863B0C" w:rsidR="00BF7007" w:rsidRPr="009F16D0" w:rsidRDefault="00BF7007" w:rsidP="00BF7007">
      <w:pPr>
        <w:pStyle w:val="Nadpis2"/>
      </w:pPr>
      <w:r w:rsidRPr="009F16D0">
        <w:t>Termín zahájení plnění: od účinnosti rozvojov</w:t>
      </w:r>
      <w:r w:rsidR="001966DA" w:rsidRPr="009F16D0">
        <w:t>é smlouvy</w:t>
      </w:r>
      <w:r w:rsidRPr="009F16D0">
        <w:tab/>
      </w:r>
    </w:p>
    <w:p w14:paraId="7DA753BF" w14:textId="0F1F92DF" w:rsidR="00BF7007" w:rsidRPr="009F16D0" w:rsidRDefault="00EC0DAD" w:rsidP="00BF7007">
      <w:pPr>
        <w:pStyle w:val="Nadpis2"/>
      </w:pPr>
      <w:r w:rsidRPr="009F16D0">
        <w:t>Termín ukončení plnění:</w:t>
      </w:r>
      <w:r w:rsidRPr="009F16D0">
        <w:tab/>
        <w:t xml:space="preserve">do </w:t>
      </w:r>
      <w:r w:rsidR="007F5F18">
        <w:t>3</w:t>
      </w:r>
      <w:r w:rsidR="009F16D0" w:rsidRPr="009F16D0">
        <w:t>0</w:t>
      </w:r>
      <w:r w:rsidR="001966DA" w:rsidRPr="009F16D0">
        <w:t xml:space="preserve"> dní od účinnosti rozvojové smlouvy</w:t>
      </w:r>
      <w:r w:rsidR="00BF7007" w:rsidRPr="009F16D0">
        <w:tab/>
      </w:r>
    </w:p>
    <w:p w14:paraId="1744AFD0" w14:textId="3E05B5E4" w:rsidR="00BF7007" w:rsidRPr="00BF7007" w:rsidRDefault="00BF7007" w:rsidP="00BF7007">
      <w:pPr>
        <w:pStyle w:val="Nadpis2"/>
      </w:pPr>
      <w:r w:rsidRPr="009F16D0">
        <w:t>Místo plnění: sídlo Zadavatele, Dlážděná</w:t>
      </w:r>
      <w:r w:rsidRPr="00BF7007">
        <w:t xml:space="preserve"> 1003/7, 110 00 Praha 1 </w:t>
      </w:r>
    </w:p>
    <w:p w14:paraId="69CCBC40" w14:textId="1264AB9E" w:rsidR="00803E67" w:rsidRPr="009F16D0" w:rsidRDefault="00803E67" w:rsidP="00803E67">
      <w:pPr>
        <w:pStyle w:val="Nadpis1"/>
        <w:spacing w:after="120"/>
        <w:ind w:left="431" w:hanging="431"/>
      </w:pPr>
      <w:bookmarkStart w:id="1" w:name="_Toc59538672"/>
      <w:r w:rsidRPr="009F16D0">
        <w:t>Sociálně a environmentálně odpovědné zadávání, inovace</w:t>
      </w:r>
      <w:bookmarkEnd w:id="1"/>
    </w:p>
    <w:p w14:paraId="57CC3787" w14:textId="77777777" w:rsidR="00DF590C" w:rsidRPr="009F16D0" w:rsidRDefault="00DF590C" w:rsidP="00DF590C">
      <w:pPr>
        <w:pStyle w:val="Nadpis2"/>
      </w:pPr>
      <w:r w:rsidRPr="009F16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F16D0" w:rsidRDefault="00DF590C" w:rsidP="00DF590C">
      <w:pPr>
        <w:pStyle w:val="Nadpis2"/>
      </w:pPr>
      <w:r w:rsidRPr="009F16D0">
        <w:t xml:space="preserve">Zadavatel aplikuje v zadávacím řízení níže uvedené prvky odpovědného zadávání: </w:t>
      </w:r>
    </w:p>
    <w:p w14:paraId="1CEEF956" w14:textId="77777777" w:rsidR="00DF590C" w:rsidRPr="009F16D0" w:rsidRDefault="00DF590C" w:rsidP="00836BA2">
      <w:pPr>
        <w:pStyle w:val="Nadpis3"/>
      </w:pPr>
      <w:r w:rsidRPr="009F16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F16D0" w:rsidRDefault="00DF590C" w:rsidP="00DF590C">
      <w:pPr>
        <w:pStyle w:val="Nadpis2"/>
      </w:pPr>
      <w:r w:rsidRPr="009F16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F16D0" w:rsidRDefault="00DF590C" w:rsidP="00836BA2">
      <w:pPr>
        <w:pStyle w:val="Nadpis3"/>
      </w:pPr>
      <w:r w:rsidRPr="009F16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F16D0" w:rsidRDefault="00DF590C" w:rsidP="00836BA2">
      <w:pPr>
        <w:pStyle w:val="Nadpis3"/>
      </w:pPr>
      <w:r w:rsidRPr="009F16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9F16D0" w:rsidRDefault="00DF590C" w:rsidP="00FC424D">
      <w:pPr>
        <w:pStyle w:val="Nadpis3"/>
        <w:ind w:left="578" w:hanging="578"/>
      </w:pPr>
      <w:r w:rsidRPr="009F16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9F16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lastRenderedPageBreak/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</w:t>
      </w:r>
      <w:r w:rsidR="0028055F" w:rsidRPr="001C7844">
        <w:lastRenderedPageBreak/>
        <w:t>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 xml:space="preserve">MB za jeden takový soubor, příp. zkomprimované soubory. Soubory většího rozsahu je nutno před jejich odesláním </w:t>
      </w:r>
      <w:r w:rsidRPr="00E25A84">
        <w:lastRenderedPageBreak/>
        <w:t>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lastRenderedPageBreak/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10BDA4C1" w14:textId="2C5A29EB" w:rsidR="00E01A6A" w:rsidRDefault="00E01A6A" w:rsidP="00E01A6A">
      <w:pPr>
        <w:pStyle w:val="Nadpis4"/>
      </w:pPr>
      <w:r>
        <w:t>Zadavatel si vyhrazuje právo zadávací řízení až do okamžiku uzavření smlouvy kdykoliv zrušit bez uvedení důvodu.</w:t>
      </w:r>
    </w:p>
    <w:p w14:paraId="56663610" w14:textId="6031EF92" w:rsidR="00E01A6A" w:rsidRDefault="00E01A6A" w:rsidP="00E01A6A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2A34D543" w14:textId="51B98BEF" w:rsidR="00E01A6A" w:rsidRDefault="00E01A6A" w:rsidP="00E01A6A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47E62FD3" w14:textId="3C527901" w:rsidR="00E01A6A" w:rsidRDefault="00E01A6A" w:rsidP="00E01A6A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4C58C3D" w14:textId="1C3192CC" w:rsidR="00E01A6A" w:rsidRDefault="00E01A6A" w:rsidP="00E01A6A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41BB3E56" w14:textId="30EDE323" w:rsidR="009F16D0" w:rsidRPr="009F16D0" w:rsidRDefault="00E01A6A" w:rsidP="00E01A6A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2" w:name="_Ref80865742"/>
      <w:r>
        <w:rPr>
          <w:b/>
        </w:rPr>
        <w:t>Příloha č. 1 Rozvojové smlouvy – Specifikace plnění</w:t>
      </w:r>
      <w:bookmarkEnd w:id="2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6FF84ED7" w:rsidR="004134F3" w:rsidRDefault="004134F3" w:rsidP="00BE22ED">
      <w:pPr>
        <w:ind w:left="0"/>
      </w:pPr>
    </w:p>
    <w:p w14:paraId="23F56F84" w14:textId="5B829DB1" w:rsidR="009F16D0" w:rsidRDefault="009F16D0" w:rsidP="00BE22ED">
      <w:pPr>
        <w:ind w:left="0"/>
      </w:pPr>
    </w:p>
    <w:p w14:paraId="3CE86ACA" w14:textId="2CFC993B" w:rsidR="009F16D0" w:rsidRDefault="009F16D0" w:rsidP="00BE22ED">
      <w:pPr>
        <w:ind w:left="0"/>
      </w:pPr>
    </w:p>
    <w:p w14:paraId="718F4692" w14:textId="433EBB77" w:rsidR="009F16D0" w:rsidRDefault="009F16D0" w:rsidP="00BE22ED">
      <w:pPr>
        <w:ind w:left="0"/>
      </w:pPr>
    </w:p>
    <w:p w14:paraId="58AA91B5" w14:textId="77777777" w:rsidR="00036C66" w:rsidRDefault="00036C66" w:rsidP="00BE22ED">
      <w:pPr>
        <w:ind w:left="0"/>
      </w:pPr>
      <w:bookmarkStart w:id="3" w:name="_GoBack"/>
      <w:bookmarkEnd w:id="3"/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440DB101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C6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C6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3785DE02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C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C6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AC59ED"/>
    <w:multiLevelType w:val="hybridMultilevel"/>
    <w:tmpl w:val="3D78B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20801707"/>
    <w:multiLevelType w:val="hybridMultilevel"/>
    <w:tmpl w:val="50C8784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16409EB"/>
    <w:multiLevelType w:val="hybridMultilevel"/>
    <w:tmpl w:val="8154F1E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5" w15:restartNumberingAfterBreak="0">
    <w:nsid w:val="4FE71343"/>
    <w:multiLevelType w:val="hybridMultilevel"/>
    <w:tmpl w:val="552E3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0"/>
  </w:num>
  <w:num w:numId="3">
    <w:abstractNumId w:val="11"/>
  </w:num>
  <w:num w:numId="4">
    <w:abstractNumId w:val="19"/>
  </w:num>
  <w:num w:numId="5">
    <w:abstractNumId w:val="9"/>
  </w:num>
  <w:num w:numId="6">
    <w:abstractNumId w:val="7"/>
  </w:num>
  <w:num w:numId="7">
    <w:abstractNumId w:val="7"/>
  </w:num>
  <w:num w:numId="8">
    <w:abstractNumId w:val="18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16"/>
  </w:num>
  <w:num w:numId="16">
    <w:abstractNumId w:val="3"/>
  </w:num>
  <w:num w:numId="17">
    <w:abstractNumId w:val="8"/>
  </w:num>
  <w:num w:numId="18">
    <w:abstractNumId w:val="7"/>
  </w:num>
  <w:num w:numId="19">
    <w:abstractNumId w:val="7"/>
  </w:num>
  <w:num w:numId="20">
    <w:abstractNumId w:val="7"/>
  </w:num>
  <w:num w:numId="21">
    <w:abstractNumId w:val="17"/>
  </w:num>
  <w:num w:numId="22">
    <w:abstractNumId w:val="7"/>
  </w:num>
  <w:num w:numId="23">
    <w:abstractNumId w:val="7"/>
  </w:num>
  <w:num w:numId="24">
    <w:abstractNumId w:val="13"/>
  </w:num>
  <w:num w:numId="25">
    <w:abstractNumId w:val="7"/>
  </w:num>
  <w:num w:numId="26">
    <w:abstractNumId w:val="7"/>
  </w:num>
  <w:num w:numId="27">
    <w:abstractNumId w:val="7"/>
  </w:num>
  <w:num w:numId="28">
    <w:abstractNumId w:val="10"/>
  </w:num>
  <w:num w:numId="29">
    <w:abstractNumId w:val="5"/>
  </w:num>
  <w:num w:numId="30">
    <w:abstractNumId w:val="7"/>
  </w:num>
  <w:num w:numId="31">
    <w:abstractNumId w:val="14"/>
  </w:num>
  <w:num w:numId="32">
    <w:abstractNumId w:val="7"/>
  </w:num>
  <w:num w:numId="33">
    <w:abstractNumId w:val="1"/>
  </w:num>
  <w:num w:numId="34">
    <w:abstractNumId w:val="7"/>
  </w:num>
  <w:num w:numId="35">
    <w:abstractNumId w:val="7"/>
  </w:num>
  <w:num w:numId="36">
    <w:abstractNumId w:val="6"/>
  </w:num>
  <w:num w:numId="37">
    <w:abstractNumId w:val="7"/>
  </w:num>
  <w:num w:numId="38">
    <w:abstractNumId w:val="7"/>
  </w:num>
  <w:num w:numId="39">
    <w:abstractNumId w:val="15"/>
  </w:num>
  <w:num w:numId="40">
    <w:abstractNumId w:val="12"/>
  </w:num>
  <w:num w:numId="41">
    <w:abstractNumId w:val="7"/>
  </w:num>
  <w:num w:numId="4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36C66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1F2F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B78B1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7F5F18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6F4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16D0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B5FD6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1A6A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B302A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2753C7-5B67-4B1D-BFE7-8DE98F1D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3009</Words>
  <Characters>17755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13</cp:revision>
  <cp:lastPrinted>2021-05-11T13:01:00Z</cp:lastPrinted>
  <dcterms:created xsi:type="dcterms:W3CDTF">2021-09-20T05:42:00Z</dcterms:created>
  <dcterms:modified xsi:type="dcterms:W3CDTF">2022-01-24T13:41:00Z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